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9F478"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sz w:val="24"/>
          <w:szCs w:val="24"/>
          <w:u w:val="single"/>
        </w:rPr>
      </w:pPr>
      <w:r>
        <w:rPr>
          <w:rFonts w:ascii="TimesNewRomanPSMT" w:eastAsiaTheme="minorEastAsia" w:hAnsi="TimesNewRomanPSMT" w:cs="TimesNewRomanPSMT"/>
          <w:b/>
          <w:bCs/>
          <w:sz w:val="24"/>
          <w:szCs w:val="24"/>
          <w:u w:val="single"/>
        </w:rPr>
        <w:t xml:space="preserve">NAI </w:t>
      </w:r>
      <w:r w:rsidRPr="008D6CF8">
        <w:rPr>
          <w:rFonts w:ascii="TimesNewRomanPSMT" w:eastAsiaTheme="minorEastAsia" w:hAnsi="TimesNewRomanPSMT" w:cs="TimesNewRomanPSMT"/>
          <w:b/>
          <w:bCs/>
          <w:sz w:val="24"/>
          <w:szCs w:val="24"/>
          <w:u w:val="single"/>
        </w:rPr>
        <w:t>Scholarship Policy (</w:t>
      </w:r>
      <w:r>
        <w:rPr>
          <w:rFonts w:ascii="TimesNewRomanPSMT" w:eastAsiaTheme="minorEastAsia" w:hAnsi="TimesNewRomanPSMT" w:cs="TimesNewRomanPSMT"/>
          <w:b/>
          <w:bCs/>
          <w:sz w:val="24"/>
          <w:szCs w:val="24"/>
          <w:u w:val="single"/>
        </w:rPr>
        <w:t>Amended by the NAI Board February 2015</w:t>
      </w:r>
      <w:r w:rsidRPr="008D6CF8">
        <w:rPr>
          <w:rFonts w:ascii="TimesNewRomanPSMT" w:eastAsiaTheme="minorEastAsia" w:hAnsi="TimesNewRomanPSMT" w:cs="TimesNewRomanPSMT"/>
          <w:b/>
          <w:bCs/>
          <w:sz w:val="24"/>
          <w:szCs w:val="24"/>
          <w:u w:val="single"/>
        </w:rPr>
        <w:t>)</w:t>
      </w:r>
    </w:p>
    <w:p w14:paraId="290475C3"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sz w:val="24"/>
          <w:szCs w:val="24"/>
        </w:rPr>
      </w:pPr>
    </w:p>
    <w:p w14:paraId="2B268F56"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rPr>
      </w:pPr>
      <w:r w:rsidRPr="008D6CF8">
        <w:rPr>
          <w:rFonts w:ascii="TimesNewRomanPSMT" w:eastAsiaTheme="minorEastAsia" w:hAnsi="TimesNewRomanPSMT" w:cs="TimesNewRomanPSMT"/>
          <w:b/>
          <w:bCs/>
        </w:rPr>
        <w:t>Program Description</w:t>
      </w:r>
    </w:p>
    <w:p w14:paraId="01559363"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r w:rsidRPr="008D6CF8">
        <w:rPr>
          <w:rFonts w:ascii="TimesNewRomanPSMT" w:eastAsiaTheme="minorEastAsia" w:hAnsi="TimesNewRomanPSMT" w:cs="TimesNewRomanPSMT"/>
        </w:rPr>
        <w:t xml:space="preserve">Scholarship programs of various types are offered by the national, regional, and section units of National Association for Interpretation (NAI). </w:t>
      </w:r>
    </w:p>
    <w:p w14:paraId="4B03F8D5"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rPr>
      </w:pPr>
    </w:p>
    <w:p w14:paraId="726DE23D"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rPr>
      </w:pPr>
      <w:r w:rsidRPr="008D6CF8">
        <w:rPr>
          <w:rFonts w:ascii="TimesNewRomanPSMT" w:eastAsiaTheme="minorEastAsia" w:hAnsi="TimesNewRomanPSMT" w:cs="TimesNewRomanPSMT"/>
          <w:b/>
          <w:bCs/>
        </w:rPr>
        <w:t>Purpose of Document</w:t>
      </w:r>
    </w:p>
    <w:p w14:paraId="7C8D21D0"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r w:rsidRPr="008D6CF8">
        <w:rPr>
          <w:rFonts w:ascii="TimesNewRomanPSMT" w:eastAsiaTheme="minorEastAsia" w:hAnsi="TimesNewRomanPSMT" w:cs="TimesNewRomanPSMT"/>
        </w:rPr>
        <w:t>This document provides guidance in administering and standardizing scholarship programs at all levels to adhere to guidelines recommended by the external auditor.</w:t>
      </w:r>
    </w:p>
    <w:p w14:paraId="4D5718BB"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p>
    <w:p w14:paraId="215C94A1"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rPr>
      </w:pPr>
      <w:r w:rsidRPr="008D6CF8">
        <w:rPr>
          <w:rFonts w:ascii="TimesNewRomanPSMT" w:eastAsiaTheme="minorEastAsia" w:hAnsi="TimesNewRomanPSMT" w:cs="TimesNewRomanPSMT"/>
          <w:b/>
          <w:bCs/>
        </w:rPr>
        <w:t>Scholarship Defined</w:t>
      </w:r>
    </w:p>
    <w:p w14:paraId="77BE9E08"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r w:rsidRPr="008D6CF8">
        <w:rPr>
          <w:rFonts w:ascii="TimesNewRomanPSMT" w:eastAsiaTheme="minorEastAsia" w:hAnsi="TimesNewRomanPSMT" w:cs="TimesNewRomanPSMT"/>
        </w:rPr>
        <w:t xml:space="preserve">A scholarship is defined as any disbursement of funds to individuals through a competitive process for the purpose of attending professional development opportunities. </w:t>
      </w:r>
    </w:p>
    <w:p w14:paraId="66C185ED"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p>
    <w:p w14:paraId="293BBA07"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rPr>
      </w:pPr>
      <w:r w:rsidRPr="008D6CF8">
        <w:rPr>
          <w:rFonts w:ascii="TimesNewRomanPSMT" w:eastAsiaTheme="minorEastAsia" w:hAnsi="TimesNewRomanPSMT" w:cs="TimesNewRomanPSMT"/>
          <w:b/>
          <w:bCs/>
        </w:rPr>
        <w:t>Funds for Scholarships</w:t>
      </w:r>
    </w:p>
    <w:p w14:paraId="735C6BB7"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r w:rsidRPr="008D6CF8">
        <w:rPr>
          <w:rFonts w:ascii="TimesNewRomanPSMT" w:eastAsiaTheme="minorEastAsia" w:hAnsi="TimesNewRomanPSMT" w:cs="TimesNewRomanPSMT"/>
        </w:rPr>
        <w:t>Scholarship funds are restricted by each NAI unit disbursing the funds. Each unit is responsible for determining an appropriate amount to be restricted for scholarships within its available treasury.</w:t>
      </w:r>
    </w:p>
    <w:p w14:paraId="3B9D4F21"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p>
    <w:p w14:paraId="1CF18460"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rPr>
      </w:pPr>
      <w:r w:rsidRPr="008D6CF8">
        <w:rPr>
          <w:rFonts w:ascii="TimesNewRomanPSMT" w:eastAsiaTheme="minorEastAsia" w:hAnsi="TimesNewRomanPSMT" w:cs="TimesNewRomanPSMT"/>
          <w:b/>
          <w:bCs/>
        </w:rPr>
        <w:t>Scholarship Selection Requirements</w:t>
      </w:r>
    </w:p>
    <w:p w14:paraId="7870131D"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r w:rsidRPr="008D6CF8">
        <w:rPr>
          <w:rFonts w:ascii="TimesNewRomanPSMT" w:eastAsiaTheme="minorEastAsia" w:hAnsi="TimesNewRomanPSMT" w:cs="TimesNewRomanPSMT"/>
        </w:rPr>
        <w:t>Each unit that provides scholarships is also responsible for providing a scholarship selection committee that must include at least three NAI members. Members of the committee, their employees and their immediate family members are not eligible for scholarship award while serving on the committee. Each unit is responsible for providing written criteria for scholarship awards. Region or Section contributions to the International Scholars Program are subject to the national office policies governing international scholarships, but region or section donors may add specific restrictions related to their region or section.</w:t>
      </w:r>
      <w:r>
        <w:rPr>
          <w:rFonts w:ascii="TimesNewRomanPSMT" w:eastAsiaTheme="minorEastAsia" w:hAnsi="TimesNewRomanPSMT" w:cs="TimesNewRomanPSMT"/>
        </w:rPr>
        <w:t xml:space="preserve"> </w:t>
      </w:r>
      <w:r w:rsidRPr="003372BD">
        <w:rPr>
          <w:rFonts w:ascii="TimesNewRomanPSMT" w:eastAsiaTheme="minorEastAsia" w:hAnsi="TimesNewRomanPSMT" w:cs="TimesNewRomanPSMT"/>
        </w:rPr>
        <w:t>All scholarship applicants must be NAI members at the time of application to be eligible.</w:t>
      </w:r>
    </w:p>
    <w:p w14:paraId="7E9A413C"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p>
    <w:p w14:paraId="7EC584D1"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rPr>
      </w:pPr>
      <w:r w:rsidRPr="008D6CF8">
        <w:rPr>
          <w:rFonts w:ascii="TimesNewRomanPSMT" w:eastAsiaTheme="minorEastAsia" w:hAnsi="TimesNewRomanPSMT" w:cs="TimesNewRomanPSMT"/>
          <w:b/>
          <w:bCs/>
        </w:rPr>
        <w:t>Disbursement of Funds</w:t>
      </w:r>
    </w:p>
    <w:p w14:paraId="7A854706"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r w:rsidRPr="008D6CF8">
        <w:rPr>
          <w:rFonts w:ascii="TimesNewRomanPSMT" w:eastAsiaTheme="minorEastAsia" w:hAnsi="TimesNewRomanPSMT" w:cs="TimesNewRomanPSMT"/>
        </w:rPr>
        <w:t>Registration costs for the event to be attended will be deducted from the overall scholarship amount and the remainder, if any, will be sent directly to the scholarship winner by check after attendance at the event is confirmed. Alternatively, at the request of the NAI unit, a check for the remainder made out to the scholarship winner can be sent to the unit’s designee to be awarded at the event. In either case, a completed disbursement form for the total amount awarded must be completed and submitted to the NAI office (two forms will be required if the total amount awarded exceeds the cost of registration – one for payment to NAI for registration amount and one for payment to the individual for the remainder).</w:t>
      </w:r>
    </w:p>
    <w:p w14:paraId="6602B02E"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p>
    <w:p w14:paraId="102DD06C"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rPr>
      </w:pPr>
      <w:r w:rsidRPr="008D6CF8">
        <w:rPr>
          <w:rFonts w:ascii="TimesNewRomanPSMT" w:eastAsiaTheme="minorEastAsia" w:hAnsi="TimesNewRomanPSMT" w:cs="TimesNewRomanPSMT"/>
          <w:b/>
          <w:bCs/>
        </w:rPr>
        <w:t>Expectations of Scholarship Recipients</w:t>
      </w:r>
    </w:p>
    <w:p w14:paraId="48A16E70"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r w:rsidRPr="008D6CF8">
        <w:rPr>
          <w:rFonts w:ascii="TimesNewRomanPSMT" w:eastAsiaTheme="minorEastAsia" w:hAnsi="TimesNewRomanPSMT" w:cs="TimesNewRomanPSMT"/>
        </w:rPr>
        <w:t xml:space="preserve">At a minimum, scholarship recipients are expected to present a program at the event for which the scholarship was provided, or write an article for the national, region or section newsletter about their experience. </w:t>
      </w:r>
    </w:p>
    <w:p w14:paraId="7416A928"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p>
    <w:p w14:paraId="24646802"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rPr>
      </w:pPr>
      <w:r w:rsidRPr="008D6CF8">
        <w:rPr>
          <w:rFonts w:ascii="TimesNewRomanPSMT" w:eastAsiaTheme="minorEastAsia" w:hAnsi="TimesNewRomanPSMT" w:cs="TimesNewRomanPSMT"/>
          <w:b/>
          <w:bCs/>
        </w:rPr>
        <w:t>Reporting Procedure</w:t>
      </w:r>
    </w:p>
    <w:p w14:paraId="3AF6CD99" w14:textId="77777777" w:rsidR="0035480C"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rPr>
      </w:pPr>
      <w:r w:rsidRPr="008D6CF8">
        <w:rPr>
          <w:rFonts w:ascii="TimesNewRomanPSMT" w:eastAsiaTheme="minorEastAsia" w:hAnsi="TimesNewRomanPSMT" w:cs="TimesNewRomanPSMT"/>
        </w:rPr>
        <w:t xml:space="preserve">Each unit will be required to submit the attached form to the national office within 30 days of the last day of the event for which the scholarship was awarded with all information provided as indicated on form. </w:t>
      </w:r>
    </w:p>
    <w:p w14:paraId="33A52E79" w14:textId="77777777" w:rsidR="0035480C" w:rsidRDefault="0035480C"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u w:val="single"/>
        </w:rPr>
      </w:pPr>
    </w:p>
    <w:p w14:paraId="293A3B41" w14:textId="77777777" w:rsidR="0035480C" w:rsidRDefault="0035480C"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u w:val="single"/>
        </w:rPr>
      </w:pPr>
    </w:p>
    <w:p w14:paraId="39FFE9D5" w14:textId="77777777" w:rsidR="0035480C" w:rsidRDefault="0035480C"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u w:val="single"/>
        </w:rPr>
      </w:pPr>
    </w:p>
    <w:p w14:paraId="29BA5337" w14:textId="77777777" w:rsidR="0035480C" w:rsidRDefault="0035480C"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u w:val="single"/>
        </w:rPr>
      </w:pPr>
    </w:p>
    <w:p w14:paraId="6C173FB7" w14:textId="77777777" w:rsidR="0035480C" w:rsidRDefault="0035480C"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u w:val="single"/>
        </w:rPr>
      </w:pPr>
    </w:p>
    <w:p w14:paraId="62F4AFFF" w14:textId="77777777" w:rsidR="0035480C" w:rsidRDefault="0035480C"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u w:val="single"/>
        </w:rPr>
      </w:pPr>
    </w:p>
    <w:p w14:paraId="01C9FBBD" w14:textId="2153CAA4"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u w:val="single"/>
        </w:rPr>
      </w:pPr>
      <w:r w:rsidRPr="008D6CF8">
        <w:rPr>
          <w:rFonts w:ascii="TimesNewRomanPSMT" w:eastAsiaTheme="minorEastAsia" w:hAnsi="TimesNewRomanPSMT" w:cs="TimesNewRomanPSMT"/>
          <w:b/>
          <w:bCs/>
          <w:sz w:val="24"/>
          <w:szCs w:val="24"/>
          <w:u w:val="single"/>
        </w:rPr>
        <w:lastRenderedPageBreak/>
        <w:t xml:space="preserve">SCHOLARSHIP REPORT FOR </w:t>
      </w:r>
      <w:r>
        <w:rPr>
          <w:rFonts w:ascii="TimesNewRomanPSMT" w:eastAsiaTheme="minorEastAsia" w:hAnsi="TimesNewRomanPSMT" w:cs="TimesNewRomanPSMT"/>
          <w:b/>
          <w:bCs/>
          <w:sz w:val="24"/>
          <w:szCs w:val="24"/>
          <w:u w:val="single"/>
        </w:rPr>
        <w:t>(Year</w:t>
      </w:r>
      <w:proofErr w:type="gramStart"/>
      <w:r>
        <w:rPr>
          <w:rFonts w:ascii="TimesNewRomanPSMT" w:eastAsiaTheme="minorEastAsia" w:hAnsi="TimesNewRomanPSMT" w:cs="TimesNewRomanPSMT"/>
          <w:b/>
          <w:bCs/>
          <w:sz w:val="24"/>
          <w:szCs w:val="24"/>
          <w:u w:val="single"/>
        </w:rPr>
        <w:t>)</w:t>
      </w:r>
      <w:r w:rsidRPr="008D6CF8">
        <w:rPr>
          <w:rFonts w:ascii="TimesNewRomanPSMT" w:eastAsiaTheme="minorEastAsia" w:hAnsi="TimesNewRomanPSMT" w:cs="TimesNewRomanPSMT"/>
          <w:b/>
          <w:bCs/>
          <w:sz w:val="24"/>
          <w:szCs w:val="24"/>
          <w:u w:val="single"/>
        </w:rPr>
        <w:t>_</w:t>
      </w:r>
      <w:proofErr w:type="gramEnd"/>
      <w:r w:rsidRPr="008D6CF8">
        <w:rPr>
          <w:rFonts w:ascii="TimesNewRomanPSMT" w:eastAsiaTheme="minorEastAsia" w:hAnsi="TimesNewRomanPSMT" w:cs="TimesNewRomanPSMT"/>
          <w:b/>
          <w:bCs/>
          <w:sz w:val="24"/>
          <w:szCs w:val="24"/>
          <w:u w:val="single"/>
        </w:rPr>
        <w:t>_____ BY</w:t>
      </w:r>
      <w:r w:rsidR="0042779E">
        <w:rPr>
          <w:rFonts w:ascii="TimesNewRomanPSMT" w:eastAsiaTheme="minorEastAsia" w:hAnsi="TimesNewRomanPSMT" w:cs="TimesNewRomanPSMT"/>
          <w:b/>
          <w:bCs/>
          <w:sz w:val="24"/>
          <w:szCs w:val="24"/>
          <w:u w:val="single"/>
        </w:rPr>
        <w:t xml:space="preserve"> (Community Name/#</w:t>
      </w:r>
      <w:r>
        <w:rPr>
          <w:rFonts w:ascii="TimesNewRomanPSMT" w:eastAsiaTheme="minorEastAsia" w:hAnsi="TimesNewRomanPSMT" w:cs="TimesNewRomanPSMT"/>
          <w:b/>
          <w:bCs/>
          <w:sz w:val="24"/>
          <w:szCs w:val="24"/>
          <w:u w:val="single"/>
        </w:rPr>
        <w:t>) _</w:t>
      </w:r>
      <w:r>
        <w:rPr>
          <w:rFonts w:ascii="TimesNewRomanPSMT" w:hAnsi="TimesNewRomanPSMT" w:cs="TimesNewRomanPSMT"/>
          <w:b/>
          <w:bCs/>
          <w:sz w:val="24"/>
          <w:szCs w:val="24"/>
          <w:u w:val="single"/>
        </w:rPr>
        <w:t>___</w:t>
      </w:r>
      <w:r w:rsidRPr="008D6CF8">
        <w:rPr>
          <w:rFonts w:ascii="TimesNewRomanPSMT" w:eastAsiaTheme="minorEastAsia" w:hAnsi="TimesNewRomanPSMT" w:cs="TimesNewRomanPSMT"/>
          <w:b/>
          <w:bCs/>
          <w:sz w:val="24"/>
          <w:szCs w:val="24"/>
          <w:u w:val="single"/>
        </w:rPr>
        <w:t>_____</w:t>
      </w:r>
    </w:p>
    <w:p w14:paraId="78D9B88C"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p>
    <w:p w14:paraId="5389C75F" w14:textId="5332FAD4"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sidRPr="008D6CF8">
        <w:rPr>
          <w:rFonts w:ascii="TimesNewRomanPSMT" w:eastAsiaTheme="minorEastAsia" w:hAnsi="TimesNewRomanPSMT" w:cs="TimesNewRomanPSMT"/>
          <w:b/>
          <w:bCs/>
          <w:sz w:val="24"/>
          <w:szCs w:val="24"/>
        </w:rPr>
        <w:t xml:space="preserve">Submitted by Scholarship Committee Chair: </w:t>
      </w:r>
      <w:r w:rsidRPr="008D6CF8">
        <w:rPr>
          <w:rFonts w:ascii="TimesNewRomanPSMT" w:eastAsiaTheme="minorEastAsia" w:hAnsi="TimesNewRomanPSMT" w:cs="TimesNewRomanPSMT"/>
          <w:sz w:val="24"/>
          <w:szCs w:val="24"/>
        </w:rPr>
        <w:t>__</w:t>
      </w:r>
      <w:r>
        <w:rPr>
          <w:rFonts w:ascii="TimesNewRomanPSMT" w:eastAsiaTheme="minorEastAsia" w:hAnsi="TimesNewRomanPSMT" w:cs="TimesNewRomanPSMT"/>
          <w:sz w:val="24"/>
          <w:szCs w:val="24"/>
          <w:u w:val="single"/>
        </w:rPr>
        <w:t xml:space="preserve">     </w:t>
      </w:r>
      <w:r w:rsidRPr="008D6CF8">
        <w:rPr>
          <w:rFonts w:ascii="TimesNewRomanPSMT" w:eastAsiaTheme="minorEastAsia" w:hAnsi="TimesNewRomanPSMT" w:cs="TimesNewRomanPSMT"/>
          <w:sz w:val="24"/>
          <w:szCs w:val="24"/>
          <w:u w:val="single"/>
        </w:rPr>
        <w:t>__   ___________</w:t>
      </w:r>
    </w:p>
    <w:p w14:paraId="67B272BB"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p>
    <w:p w14:paraId="43E86D5D" w14:textId="464A8159" w:rsidR="008D6CF8" w:rsidRPr="008D6CF8" w:rsidRDefault="00123E10" w:rsidP="008D6CF8">
      <w:pPr>
        <w:widowControl w:val="0"/>
        <w:autoSpaceDE w:val="0"/>
        <w:autoSpaceDN w:val="0"/>
        <w:adjustRightInd w:val="0"/>
        <w:spacing w:after="0" w:line="240" w:lineRule="auto"/>
        <w:rPr>
          <w:rFonts w:ascii="TimesNewRomanPSMT" w:eastAsiaTheme="minorEastAsia" w:hAnsi="TimesNewRomanPSMT" w:cs="TimesNewRomanPSMT"/>
          <w:sz w:val="24"/>
          <w:szCs w:val="24"/>
          <w:u w:val="single"/>
        </w:rPr>
      </w:pPr>
      <w:r>
        <w:rPr>
          <w:rFonts w:ascii="TimesNewRomanPSMT" w:eastAsiaTheme="minorEastAsia" w:hAnsi="TimesNewRomanPSMT" w:cs="TimesNewRomanPSMT"/>
          <w:b/>
          <w:bCs/>
          <w:sz w:val="24"/>
          <w:szCs w:val="24"/>
        </w:rPr>
        <w:t>Event or Purpose of Sch</w:t>
      </w:r>
      <w:bookmarkStart w:id="0" w:name="_GoBack"/>
      <w:bookmarkEnd w:id="0"/>
      <w:r>
        <w:rPr>
          <w:rFonts w:ascii="TimesNewRomanPSMT" w:eastAsiaTheme="minorEastAsia" w:hAnsi="TimesNewRomanPSMT" w:cs="TimesNewRomanPSMT"/>
          <w:b/>
          <w:bCs/>
          <w:sz w:val="24"/>
          <w:szCs w:val="24"/>
        </w:rPr>
        <w:t>olarship</w:t>
      </w:r>
      <w:r w:rsidR="008D6CF8" w:rsidRPr="008D6CF8">
        <w:rPr>
          <w:rFonts w:ascii="TimesNewRomanPSMT" w:eastAsiaTheme="minorEastAsia" w:hAnsi="TimesNewRomanPSMT" w:cs="TimesNewRomanPSMT"/>
          <w:b/>
          <w:bCs/>
          <w:sz w:val="24"/>
          <w:szCs w:val="24"/>
        </w:rPr>
        <w:t xml:space="preserve">: </w:t>
      </w:r>
      <w:r w:rsidR="008D6CF8" w:rsidRPr="008D6CF8">
        <w:rPr>
          <w:rFonts w:ascii="TimesNewRomanPSMT" w:eastAsiaTheme="minorEastAsia" w:hAnsi="TimesNewRomanPSMT" w:cs="TimesNewRomanPSMT"/>
          <w:sz w:val="24"/>
          <w:szCs w:val="24"/>
          <w:u w:val="single"/>
        </w:rPr>
        <w:t xml:space="preserve">  </w:t>
      </w:r>
      <w:r w:rsidR="008D6CF8">
        <w:rPr>
          <w:rFonts w:ascii="TimesNewRomanPSMT" w:eastAsiaTheme="minorEastAsia" w:hAnsi="TimesNewRomanPSMT" w:cs="TimesNewRomanPSMT"/>
          <w:sz w:val="24"/>
          <w:szCs w:val="24"/>
          <w:u w:val="single"/>
        </w:rPr>
        <w:t xml:space="preserve">                                                      </w:t>
      </w:r>
      <w:r w:rsidR="008D6CF8">
        <w:rPr>
          <w:rFonts w:ascii="TimesNewRomanPSMT" w:hAnsi="TimesNewRomanPSMT" w:cs="TimesNewRomanPSMT"/>
          <w:sz w:val="24"/>
          <w:szCs w:val="24"/>
        </w:rPr>
        <w:t>_______</w:t>
      </w:r>
      <w:r w:rsidR="008D6CF8" w:rsidRPr="008D6CF8">
        <w:rPr>
          <w:rFonts w:ascii="TimesNewRomanPSMT" w:eastAsiaTheme="minorEastAsia" w:hAnsi="TimesNewRomanPSMT" w:cs="TimesNewRomanPSMT"/>
          <w:sz w:val="24"/>
          <w:szCs w:val="24"/>
          <w:u w:val="single"/>
        </w:rPr>
        <w:t xml:space="preserve">                                             </w:t>
      </w:r>
    </w:p>
    <w:p w14:paraId="46B8652C"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p>
    <w:p w14:paraId="2B0E2167"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sidRPr="008D6CF8">
        <w:rPr>
          <w:rFonts w:ascii="TimesNewRomanPSMT" w:eastAsiaTheme="minorEastAsia" w:hAnsi="TimesNewRomanPSMT" w:cs="TimesNewRomanPSMT"/>
          <w:b/>
          <w:bCs/>
          <w:sz w:val="24"/>
          <w:szCs w:val="24"/>
        </w:rPr>
        <w:t>Awards Made</w:t>
      </w: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3371"/>
        <w:gridCol w:w="1777"/>
        <w:gridCol w:w="3690"/>
      </w:tblGrid>
      <w:tr w:rsidR="008D6CF8" w:rsidRPr="008D6CF8" w14:paraId="04D1A607" w14:textId="77777777" w:rsidTr="0035480C">
        <w:tc>
          <w:tcPr>
            <w:tcW w:w="3371" w:type="dxa"/>
            <w:tcBorders>
              <w:top w:val="single" w:sz="4" w:space="0" w:color="BFBFBF"/>
              <w:bottom w:val="single" w:sz="4" w:space="0" w:color="BFBFBF"/>
              <w:right w:val="single" w:sz="4" w:space="0" w:color="BFBFBF"/>
            </w:tcBorders>
            <w:tcMar>
              <w:top w:w="100" w:type="nil"/>
              <w:right w:w="100" w:type="nil"/>
            </w:tcMar>
          </w:tcPr>
          <w:p w14:paraId="58242CC8" w14:textId="52F44E68" w:rsidR="008D6CF8" w:rsidRPr="008D6CF8" w:rsidRDefault="00123E10"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Pr>
                <w:rFonts w:ascii="TimesNewRomanPSMT" w:eastAsiaTheme="minorEastAsia" w:hAnsi="TimesNewRomanPSMT" w:cs="TimesNewRomanPSMT"/>
                <w:b/>
                <w:bCs/>
                <w:sz w:val="24"/>
                <w:szCs w:val="24"/>
              </w:rPr>
              <w:t>Name of Scholarship Recipient</w:t>
            </w:r>
            <w:r w:rsidR="0035480C">
              <w:rPr>
                <w:rFonts w:ascii="TimesNewRomanPSMT" w:eastAsiaTheme="minorEastAsia" w:hAnsi="TimesNewRomanPSMT" w:cs="TimesNewRomanPSMT"/>
                <w:b/>
                <w:bCs/>
                <w:sz w:val="24"/>
                <w:szCs w:val="24"/>
              </w:rPr>
              <w:t>:</w:t>
            </w:r>
          </w:p>
        </w:tc>
        <w:tc>
          <w:tcPr>
            <w:tcW w:w="1777"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7ED6CF9E" w14:textId="0170E073" w:rsidR="008D6CF8" w:rsidRPr="008D6CF8" w:rsidRDefault="000F37F2" w:rsidP="000F37F2">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Pr>
                <w:rFonts w:ascii="TimesNewRomanPSMT" w:eastAsiaTheme="minorEastAsia" w:hAnsi="TimesNewRomanPSMT" w:cs="TimesNewRomanPSMT"/>
                <w:b/>
                <w:bCs/>
                <w:sz w:val="24"/>
                <w:szCs w:val="24"/>
              </w:rPr>
              <w:t>Total Awarded Amount</w:t>
            </w:r>
            <w:r w:rsidR="0035480C">
              <w:rPr>
                <w:rFonts w:ascii="TimesNewRomanPSMT" w:eastAsiaTheme="minorEastAsia" w:hAnsi="TimesNewRomanPSMT" w:cs="TimesNewRomanPSMT"/>
                <w:b/>
                <w:bCs/>
                <w:sz w:val="24"/>
                <w:szCs w:val="24"/>
              </w:rPr>
              <w:t>:</w:t>
            </w:r>
          </w:p>
        </w:tc>
        <w:tc>
          <w:tcPr>
            <w:tcW w:w="3690" w:type="dxa"/>
            <w:tcBorders>
              <w:top w:val="single" w:sz="4" w:space="0" w:color="BFBFBF"/>
              <w:left w:val="single" w:sz="4" w:space="0" w:color="BFBFBF"/>
              <w:bottom w:val="single" w:sz="4" w:space="0" w:color="BFBFBF"/>
            </w:tcBorders>
            <w:tcMar>
              <w:top w:w="100" w:type="nil"/>
              <w:right w:w="100" w:type="nil"/>
            </w:tcMar>
          </w:tcPr>
          <w:p w14:paraId="11E7CDDF" w14:textId="7D054E93" w:rsidR="008D6CF8" w:rsidRPr="008D6CF8" w:rsidRDefault="0035480C" w:rsidP="0035480C">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Pr>
                <w:rFonts w:ascii="TimesNewRomanPSMT" w:eastAsiaTheme="minorEastAsia" w:hAnsi="TimesNewRomanPSMT" w:cs="TimesNewRomanPSMT"/>
                <w:b/>
                <w:bCs/>
                <w:sz w:val="24"/>
                <w:szCs w:val="24"/>
              </w:rPr>
              <w:t xml:space="preserve">Scholarship Includes: </w:t>
            </w:r>
            <w:r w:rsidRPr="0035480C">
              <w:rPr>
                <w:rFonts w:ascii="TimesNewRomanPSMT" w:eastAsiaTheme="minorEastAsia" w:hAnsi="TimesNewRomanPSMT" w:cs="TimesNewRomanPSMT"/>
                <w:bCs/>
                <w:sz w:val="24"/>
                <w:szCs w:val="24"/>
              </w:rPr>
              <w:t>(registration</w:t>
            </w:r>
            <w:r>
              <w:rPr>
                <w:rFonts w:ascii="TimesNewRomanPSMT" w:eastAsiaTheme="minorEastAsia" w:hAnsi="TimesNewRomanPSMT" w:cs="TimesNewRomanPSMT"/>
                <w:bCs/>
                <w:sz w:val="24"/>
                <w:szCs w:val="24"/>
              </w:rPr>
              <w:t xml:space="preserve"> fees, off-site fees</w:t>
            </w:r>
            <w:r w:rsidRPr="0035480C">
              <w:rPr>
                <w:rFonts w:ascii="TimesNewRomanPSMT" w:eastAsiaTheme="minorEastAsia" w:hAnsi="TimesNewRomanPSMT" w:cs="TimesNewRomanPSMT"/>
                <w:bCs/>
                <w:sz w:val="24"/>
                <w:szCs w:val="24"/>
              </w:rPr>
              <w:t xml:space="preserve">, </w:t>
            </w:r>
            <w:r>
              <w:rPr>
                <w:rFonts w:ascii="TimesNewRomanPSMT" w:eastAsiaTheme="minorEastAsia" w:hAnsi="TimesNewRomanPSMT" w:cs="TimesNewRomanPSMT"/>
                <w:bCs/>
                <w:sz w:val="24"/>
                <w:szCs w:val="24"/>
              </w:rPr>
              <w:t xml:space="preserve">certification/other fees, travel stipend/reimbursement, </w:t>
            </w:r>
            <w:r w:rsidRPr="0035480C">
              <w:rPr>
                <w:rFonts w:ascii="TimesNewRomanPSMT" w:eastAsiaTheme="minorEastAsia" w:hAnsi="TimesNewRomanPSMT" w:cs="TimesNewRomanPSMT"/>
                <w:bCs/>
                <w:sz w:val="24"/>
                <w:szCs w:val="24"/>
              </w:rPr>
              <w:t>etc.)</w:t>
            </w:r>
          </w:p>
        </w:tc>
      </w:tr>
      <w:tr w:rsidR="008D6CF8" w:rsidRPr="008D6CF8" w14:paraId="3E601D78" w14:textId="77777777" w:rsidTr="0035480C">
        <w:tblPrEx>
          <w:tblBorders>
            <w:top w:val="none" w:sz="0" w:space="0" w:color="auto"/>
          </w:tblBorders>
        </w:tblPrEx>
        <w:tc>
          <w:tcPr>
            <w:tcW w:w="3371" w:type="dxa"/>
            <w:tcBorders>
              <w:top w:val="single" w:sz="4" w:space="0" w:color="BFBFBF"/>
              <w:bottom w:val="single" w:sz="4" w:space="0" w:color="BFBFBF"/>
              <w:right w:val="single" w:sz="4" w:space="0" w:color="BFBFBF"/>
            </w:tcBorders>
            <w:tcMar>
              <w:top w:w="100" w:type="nil"/>
              <w:right w:w="100" w:type="nil"/>
            </w:tcMar>
            <w:vAlign w:val="center"/>
          </w:tcPr>
          <w:p w14:paraId="63DB05CE" w14:textId="77777777" w:rsidR="008D6CF8" w:rsidRPr="008D6CF8" w:rsidRDefault="008D6CF8" w:rsidP="00400611">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1777"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47AA074" w14:textId="17B831A2"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3690" w:type="dxa"/>
            <w:tcBorders>
              <w:top w:val="single" w:sz="4" w:space="0" w:color="BFBFBF"/>
              <w:left w:val="single" w:sz="4" w:space="0" w:color="BFBFBF"/>
              <w:bottom w:val="single" w:sz="4" w:space="0" w:color="BFBFBF"/>
            </w:tcBorders>
            <w:tcMar>
              <w:top w:w="100" w:type="nil"/>
              <w:right w:w="100" w:type="nil"/>
            </w:tcMar>
            <w:vAlign w:val="center"/>
          </w:tcPr>
          <w:p w14:paraId="4F6A5C34" w14:textId="639926AF"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r w:rsidR="008D6CF8" w:rsidRPr="008D6CF8" w14:paraId="172C3919" w14:textId="77777777" w:rsidTr="0035480C">
        <w:tblPrEx>
          <w:tblBorders>
            <w:top w:val="none" w:sz="0" w:space="0" w:color="auto"/>
          </w:tblBorders>
        </w:tblPrEx>
        <w:tc>
          <w:tcPr>
            <w:tcW w:w="3371" w:type="dxa"/>
            <w:tcBorders>
              <w:top w:val="single" w:sz="4" w:space="0" w:color="BFBFBF"/>
              <w:bottom w:val="single" w:sz="4" w:space="0" w:color="BFBFBF"/>
              <w:right w:val="single" w:sz="4" w:space="0" w:color="BFBFBF"/>
            </w:tcBorders>
            <w:tcMar>
              <w:top w:w="100" w:type="nil"/>
              <w:right w:w="100" w:type="nil"/>
            </w:tcMar>
            <w:vAlign w:val="center"/>
          </w:tcPr>
          <w:p w14:paraId="085751A0" w14:textId="7B25864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1777"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8E3101D" w14:textId="1054D91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3690" w:type="dxa"/>
            <w:tcBorders>
              <w:top w:val="single" w:sz="4" w:space="0" w:color="BFBFBF"/>
              <w:left w:val="single" w:sz="4" w:space="0" w:color="BFBFBF"/>
              <w:bottom w:val="single" w:sz="4" w:space="0" w:color="BFBFBF"/>
            </w:tcBorders>
            <w:tcMar>
              <w:top w:w="100" w:type="nil"/>
              <w:right w:w="100" w:type="nil"/>
            </w:tcMar>
            <w:vAlign w:val="center"/>
          </w:tcPr>
          <w:p w14:paraId="59EDE9B9" w14:textId="39072EBF"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r w:rsidR="008D6CF8" w:rsidRPr="008D6CF8" w14:paraId="5A46ABA9" w14:textId="77777777" w:rsidTr="0035480C">
        <w:tblPrEx>
          <w:tblBorders>
            <w:top w:val="none" w:sz="0" w:space="0" w:color="auto"/>
          </w:tblBorders>
        </w:tblPrEx>
        <w:tc>
          <w:tcPr>
            <w:tcW w:w="3371" w:type="dxa"/>
            <w:tcBorders>
              <w:top w:val="single" w:sz="4" w:space="0" w:color="BFBFBF"/>
              <w:bottom w:val="single" w:sz="4" w:space="0" w:color="BFBFBF"/>
              <w:right w:val="single" w:sz="4" w:space="0" w:color="BFBFBF"/>
            </w:tcBorders>
            <w:tcMar>
              <w:top w:w="100" w:type="nil"/>
              <w:right w:w="100" w:type="nil"/>
            </w:tcMar>
            <w:vAlign w:val="center"/>
          </w:tcPr>
          <w:p w14:paraId="16973439" w14:textId="699D5896"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1777"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1BB34C4" w14:textId="2218F48A"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3690" w:type="dxa"/>
            <w:tcBorders>
              <w:top w:val="single" w:sz="4" w:space="0" w:color="BFBFBF"/>
              <w:left w:val="single" w:sz="4" w:space="0" w:color="BFBFBF"/>
              <w:bottom w:val="single" w:sz="4" w:space="0" w:color="BFBFBF"/>
            </w:tcBorders>
            <w:tcMar>
              <w:top w:w="100" w:type="nil"/>
              <w:right w:w="100" w:type="nil"/>
            </w:tcMar>
            <w:vAlign w:val="center"/>
          </w:tcPr>
          <w:p w14:paraId="45E416AC" w14:textId="73F5D55C"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r w:rsidR="008D6CF8" w:rsidRPr="008D6CF8" w14:paraId="1564B525" w14:textId="77777777" w:rsidTr="0035480C">
        <w:tblPrEx>
          <w:tblBorders>
            <w:top w:val="none" w:sz="0" w:space="0" w:color="auto"/>
          </w:tblBorders>
        </w:tblPrEx>
        <w:tc>
          <w:tcPr>
            <w:tcW w:w="3371" w:type="dxa"/>
            <w:tcBorders>
              <w:top w:val="single" w:sz="4" w:space="0" w:color="BFBFBF"/>
              <w:bottom w:val="single" w:sz="4" w:space="0" w:color="BFBFBF"/>
              <w:right w:val="single" w:sz="4" w:space="0" w:color="BFBFBF"/>
            </w:tcBorders>
            <w:tcMar>
              <w:top w:w="100" w:type="nil"/>
              <w:right w:w="100" w:type="nil"/>
            </w:tcMar>
            <w:vAlign w:val="center"/>
          </w:tcPr>
          <w:p w14:paraId="643450CD" w14:textId="545C6A00"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1777"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60CC394" w14:textId="326A19EA"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3690" w:type="dxa"/>
            <w:tcBorders>
              <w:top w:val="single" w:sz="4" w:space="0" w:color="BFBFBF"/>
              <w:left w:val="single" w:sz="4" w:space="0" w:color="BFBFBF"/>
              <w:bottom w:val="single" w:sz="4" w:space="0" w:color="BFBFBF"/>
            </w:tcBorders>
            <w:tcMar>
              <w:top w:w="100" w:type="nil"/>
              <w:right w:w="100" w:type="nil"/>
            </w:tcMar>
            <w:vAlign w:val="center"/>
          </w:tcPr>
          <w:p w14:paraId="72B7EF50" w14:textId="41BFBE5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r w:rsidR="008D6CF8" w:rsidRPr="008D6CF8" w14:paraId="2CE0EF32" w14:textId="77777777" w:rsidTr="0035480C">
        <w:tblPrEx>
          <w:tblBorders>
            <w:top w:val="none" w:sz="0" w:space="0" w:color="auto"/>
          </w:tblBorders>
        </w:tblPrEx>
        <w:tc>
          <w:tcPr>
            <w:tcW w:w="3371" w:type="dxa"/>
            <w:tcBorders>
              <w:top w:val="single" w:sz="4" w:space="0" w:color="BFBFBF"/>
              <w:bottom w:val="single" w:sz="4" w:space="0" w:color="BFBFBF"/>
              <w:right w:val="single" w:sz="4" w:space="0" w:color="BFBFBF"/>
            </w:tcBorders>
            <w:tcMar>
              <w:top w:w="100" w:type="nil"/>
              <w:right w:w="100" w:type="nil"/>
            </w:tcMar>
            <w:vAlign w:val="center"/>
          </w:tcPr>
          <w:p w14:paraId="53860144"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p w14:paraId="56EB69B7" w14:textId="785B7756"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1777"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0436D6B" w14:textId="2B71004C"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3690" w:type="dxa"/>
            <w:tcBorders>
              <w:top w:val="single" w:sz="4" w:space="0" w:color="BFBFBF"/>
              <w:left w:val="single" w:sz="4" w:space="0" w:color="BFBFBF"/>
              <w:bottom w:val="single" w:sz="4" w:space="0" w:color="BFBFBF"/>
            </w:tcBorders>
            <w:tcMar>
              <w:top w:w="100" w:type="nil"/>
              <w:right w:w="100" w:type="nil"/>
            </w:tcMar>
            <w:vAlign w:val="center"/>
          </w:tcPr>
          <w:p w14:paraId="55C976D7" w14:textId="75EA8A12"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r w:rsidR="008D6CF8" w:rsidRPr="008D6CF8" w14:paraId="4E4D330E" w14:textId="77777777" w:rsidTr="0035480C">
        <w:tblPrEx>
          <w:tblBorders>
            <w:top w:val="none" w:sz="0" w:space="0" w:color="auto"/>
            <w:bottom w:val="single" w:sz="4" w:space="0" w:color="BFBFBF"/>
          </w:tblBorders>
        </w:tblPrEx>
        <w:tc>
          <w:tcPr>
            <w:tcW w:w="3371" w:type="dxa"/>
            <w:tcBorders>
              <w:top w:val="single" w:sz="4" w:space="0" w:color="BFBFBF"/>
              <w:bottom w:val="single" w:sz="4" w:space="0" w:color="BFBFBF"/>
              <w:right w:val="single" w:sz="4" w:space="0" w:color="BFBFBF"/>
            </w:tcBorders>
            <w:tcMar>
              <w:top w:w="100" w:type="nil"/>
              <w:right w:w="100" w:type="nil"/>
            </w:tcMar>
            <w:vAlign w:val="center"/>
          </w:tcPr>
          <w:p w14:paraId="146478FA" w14:textId="67FE0950"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1777"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D81D94C" w14:textId="292538BB"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3690" w:type="dxa"/>
            <w:tcBorders>
              <w:top w:val="single" w:sz="4" w:space="0" w:color="BFBFBF"/>
              <w:left w:val="single" w:sz="4" w:space="0" w:color="BFBFBF"/>
              <w:bottom w:val="single" w:sz="4" w:space="0" w:color="BFBFBF"/>
            </w:tcBorders>
            <w:tcMar>
              <w:top w:w="100" w:type="nil"/>
              <w:right w:w="100" w:type="nil"/>
            </w:tcMar>
            <w:vAlign w:val="center"/>
          </w:tcPr>
          <w:p w14:paraId="297A2794" w14:textId="16E8A40F"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bl>
    <w:p w14:paraId="02AC7535"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p>
    <w:p w14:paraId="2D1932EB"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sidRPr="008D6CF8">
        <w:rPr>
          <w:rFonts w:ascii="TimesNewRomanPSMT" w:eastAsiaTheme="minorEastAsia" w:hAnsi="TimesNewRomanPSMT" w:cs="TimesNewRomanPSMT"/>
          <w:b/>
          <w:bCs/>
          <w:sz w:val="24"/>
          <w:szCs w:val="24"/>
        </w:rPr>
        <w:t>Selection Criteria</w:t>
      </w: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428"/>
        <w:gridCol w:w="4428"/>
      </w:tblGrid>
      <w:tr w:rsidR="008D6CF8" w:rsidRPr="008D6CF8" w14:paraId="022FAC3E" w14:textId="77777777" w:rsidTr="00A8006C">
        <w:tc>
          <w:tcPr>
            <w:tcW w:w="4428" w:type="dxa"/>
            <w:tcBorders>
              <w:top w:val="single" w:sz="4" w:space="0" w:color="BFBFBF"/>
              <w:bottom w:val="single" w:sz="4" w:space="0" w:color="BFBFBF"/>
              <w:right w:val="single" w:sz="4" w:space="0" w:color="BFBFBF"/>
            </w:tcBorders>
            <w:tcMar>
              <w:top w:w="100" w:type="nil"/>
              <w:right w:w="100" w:type="nil"/>
            </w:tcMar>
          </w:tcPr>
          <w:p w14:paraId="3AC331D9"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sidRPr="008D6CF8">
              <w:rPr>
                <w:rFonts w:ascii="TimesNewRomanPSMT" w:eastAsiaTheme="minorEastAsia" w:hAnsi="TimesNewRomanPSMT" w:cs="TimesNewRomanPSMT"/>
                <w:b/>
                <w:bCs/>
                <w:sz w:val="24"/>
                <w:szCs w:val="24"/>
              </w:rPr>
              <w:t>Criteria</w:t>
            </w:r>
          </w:p>
        </w:tc>
        <w:tc>
          <w:tcPr>
            <w:tcW w:w="4428" w:type="dxa"/>
            <w:tcBorders>
              <w:top w:val="single" w:sz="4" w:space="0" w:color="BFBFBF"/>
              <w:left w:val="single" w:sz="4" w:space="0" w:color="BFBFBF"/>
              <w:bottom w:val="single" w:sz="4" w:space="0" w:color="BFBFBF"/>
            </w:tcBorders>
            <w:tcMar>
              <w:top w:w="100" w:type="nil"/>
              <w:right w:w="100" w:type="nil"/>
            </w:tcMar>
          </w:tcPr>
          <w:p w14:paraId="6D5C1F75"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sidRPr="008D6CF8">
              <w:rPr>
                <w:rFonts w:ascii="TimesNewRomanPSMT" w:eastAsiaTheme="minorEastAsia" w:hAnsi="TimesNewRomanPSMT" w:cs="TimesNewRomanPSMT"/>
                <w:b/>
                <w:bCs/>
                <w:sz w:val="24"/>
                <w:szCs w:val="24"/>
              </w:rPr>
              <w:t>Names of All Applicants</w:t>
            </w:r>
          </w:p>
        </w:tc>
      </w:tr>
      <w:tr w:rsidR="008D6CF8" w:rsidRPr="008D6CF8" w14:paraId="27F163D7" w14:textId="77777777" w:rsidTr="00A8006C">
        <w:tblPrEx>
          <w:tblBorders>
            <w:top w:val="none" w:sz="0" w:space="0" w:color="auto"/>
            <w:bottom w:val="single" w:sz="4" w:space="0" w:color="BFBFBF"/>
          </w:tblBorders>
        </w:tblPrEx>
        <w:tc>
          <w:tcPr>
            <w:tcW w:w="4428" w:type="dxa"/>
            <w:tcBorders>
              <w:top w:val="single" w:sz="4" w:space="0" w:color="BFBFBF"/>
              <w:bottom w:val="single" w:sz="4" w:space="0" w:color="BFBFBF"/>
              <w:right w:val="single" w:sz="4" w:space="0" w:color="BFBFBF"/>
            </w:tcBorders>
            <w:tcMar>
              <w:top w:w="100" w:type="nil"/>
              <w:right w:w="100" w:type="nil"/>
            </w:tcMar>
          </w:tcPr>
          <w:p w14:paraId="7158FCDF" w14:textId="4A6F0937" w:rsidR="008D6CF8" w:rsidRPr="008D6CF8" w:rsidRDefault="008D6CF8" w:rsidP="008D6CF8">
            <w:pPr>
              <w:widowControl w:val="0"/>
              <w:autoSpaceDE w:val="0"/>
              <w:autoSpaceDN w:val="0"/>
              <w:adjustRightInd w:val="0"/>
              <w:spacing w:after="0" w:line="240" w:lineRule="auto"/>
              <w:rPr>
                <w:rFonts w:ascii="Helvetica" w:eastAsiaTheme="minorEastAsia" w:hAnsi="Helvetica" w:cs="Helvetica"/>
                <w:sz w:val="20"/>
                <w:szCs w:val="20"/>
              </w:rPr>
            </w:pPr>
            <w:r w:rsidRPr="008D6CF8">
              <w:rPr>
                <w:rFonts w:ascii="Times-Roman" w:eastAsiaTheme="minorEastAsia" w:hAnsi="Times-Roman" w:cs="Times-Roman"/>
                <w:sz w:val="20"/>
                <w:szCs w:val="20"/>
              </w:rPr>
              <w:t xml:space="preserve"> </w:t>
            </w:r>
          </w:p>
        </w:tc>
        <w:tc>
          <w:tcPr>
            <w:tcW w:w="4428" w:type="dxa"/>
            <w:tcBorders>
              <w:top w:val="single" w:sz="4" w:space="0" w:color="BFBFBF"/>
              <w:left w:val="single" w:sz="4" w:space="0" w:color="BFBFBF"/>
              <w:bottom w:val="single" w:sz="4" w:space="0" w:color="BFBFBF"/>
            </w:tcBorders>
            <w:tcMar>
              <w:top w:w="100" w:type="nil"/>
              <w:right w:w="100" w:type="nil"/>
            </w:tcMar>
          </w:tcPr>
          <w:p w14:paraId="233B417B"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p>
          <w:p w14:paraId="7E052F38" w14:textId="77777777" w:rsidR="008D6CF8" w:rsidRPr="008D6CF8" w:rsidRDefault="008D6CF8" w:rsidP="00123E10">
            <w:pPr>
              <w:widowControl w:val="0"/>
              <w:autoSpaceDE w:val="0"/>
              <w:autoSpaceDN w:val="0"/>
              <w:adjustRightInd w:val="0"/>
              <w:spacing w:after="0" w:line="240" w:lineRule="auto"/>
              <w:rPr>
                <w:rFonts w:ascii="TimesNewRomanPSMT" w:eastAsiaTheme="minorEastAsia" w:hAnsi="TimesNewRomanPSMT" w:cs="TimesNewRomanPSMT"/>
                <w:b/>
                <w:bCs/>
                <w:sz w:val="24"/>
                <w:szCs w:val="24"/>
              </w:rPr>
            </w:pPr>
          </w:p>
        </w:tc>
      </w:tr>
    </w:tbl>
    <w:p w14:paraId="7CF40C5E"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p>
    <w:p w14:paraId="398B68FC"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p>
    <w:p w14:paraId="34476889"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sidRPr="008D6CF8">
        <w:rPr>
          <w:rFonts w:ascii="TimesNewRomanPSMT" w:eastAsiaTheme="minorEastAsia" w:hAnsi="TimesNewRomanPSMT" w:cs="TimesNewRomanPSMT"/>
          <w:b/>
          <w:bCs/>
          <w:sz w:val="24"/>
          <w:szCs w:val="24"/>
        </w:rPr>
        <w:t>Selection Committee Members:</w:t>
      </w: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428"/>
        <w:gridCol w:w="4428"/>
      </w:tblGrid>
      <w:tr w:rsidR="008D6CF8" w:rsidRPr="008D6CF8" w14:paraId="61E5B70C" w14:textId="77777777" w:rsidTr="00A8006C">
        <w:tc>
          <w:tcPr>
            <w:tcW w:w="4428" w:type="dxa"/>
            <w:tcBorders>
              <w:top w:val="single" w:sz="4" w:space="0" w:color="BFBFBF"/>
              <w:bottom w:val="single" w:sz="4" w:space="0" w:color="BFBFBF"/>
              <w:right w:val="single" w:sz="4" w:space="0" w:color="BFBFBF"/>
            </w:tcBorders>
            <w:tcMar>
              <w:top w:w="100" w:type="nil"/>
              <w:right w:w="100" w:type="nil"/>
            </w:tcMar>
          </w:tcPr>
          <w:p w14:paraId="32821335"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sidRPr="008D6CF8">
              <w:rPr>
                <w:rFonts w:ascii="TimesNewRomanPSMT" w:eastAsiaTheme="minorEastAsia" w:hAnsi="TimesNewRomanPSMT" w:cs="TimesNewRomanPSMT"/>
                <w:b/>
                <w:bCs/>
                <w:sz w:val="24"/>
                <w:szCs w:val="24"/>
              </w:rPr>
              <w:t>Name</w:t>
            </w:r>
          </w:p>
        </w:tc>
        <w:tc>
          <w:tcPr>
            <w:tcW w:w="4428" w:type="dxa"/>
            <w:tcBorders>
              <w:top w:val="single" w:sz="4" w:space="0" w:color="BFBFBF"/>
              <w:left w:val="single" w:sz="4" w:space="0" w:color="BFBFBF"/>
              <w:bottom w:val="single" w:sz="4" w:space="0" w:color="BFBFBF"/>
            </w:tcBorders>
            <w:tcMar>
              <w:top w:w="100" w:type="nil"/>
              <w:right w:w="100" w:type="nil"/>
            </w:tcMar>
          </w:tcPr>
          <w:p w14:paraId="43279E03" w14:textId="7777777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rPr>
            </w:pPr>
            <w:r w:rsidRPr="008D6CF8">
              <w:rPr>
                <w:rFonts w:ascii="TimesNewRomanPSMT" w:eastAsiaTheme="minorEastAsia" w:hAnsi="TimesNewRomanPSMT" w:cs="TimesNewRomanPSMT"/>
                <w:b/>
                <w:bCs/>
                <w:sz w:val="24"/>
                <w:szCs w:val="24"/>
              </w:rPr>
              <w:t>Contact (email or phone)</w:t>
            </w:r>
          </w:p>
        </w:tc>
      </w:tr>
      <w:tr w:rsidR="008D6CF8" w:rsidRPr="008D6CF8" w14:paraId="0B02E567" w14:textId="77777777" w:rsidTr="00A8006C">
        <w:tblPrEx>
          <w:tblBorders>
            <w:top w:val="none" w:sz="0" w:space="0" w:color="auto"/>
          </w:tblBorders>
        </w:tblPrEx>
        <w:tc>
          <w:tcPr>
            <w:tcW w:w="4428" w:type="dxa"/>
            <w:tcBorders>
              <w:top w:val="single" w:sz="4" w:space="0" w:color="BFBFBF"/>
              <w:bottom w:val="single" w:sz="4" w:space="0" w:color="BFBFBF"/>
              <w:right w:val="single" w:sz="4" w:space="0" w:color="BFBFBF"/>
            </w:tcBorders>
            <w:tcMar>
              <w:top w:w="100" w:type="nil"/>
              <w:right w:w="100" w:type="nil"/>
            </w:tcMar>
            <w:vAlign w:val="center"/>
          </w:tcPr>
          <w:p w14:paraId="44AC3F05" w14:textId="1AA09063"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4428" w:type="dxa"/>
            <w:tcBorders>
              <w:top w:val="single" w:sz="4" w:space="0" w:color="BFBFBF"/>
              <w:left w:val="single" w:sz="4" w:space="0" w:color="BFBFBF"/>
              <w:bottom w:val="single" w:sz="4" w:space="0" w:color="BFBFBF"/>
            </w:tcBorders>
            <w:tcMar>
              <w:top w:w="100" w:type="nil"/>
              <w:right w:w="100" w:type="nil"/>
            </w:tcMar>
            <w:vAlign w:val="center"/>
          </w:tcPr>
          <w:p w14:paraId="1EFA7FBB" w14:textId="35F66D1E"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r w:rsidR="008D6CF8" w:rsidRPr="008D6CF8" w14:paraId="6BBE29FB" w14:textId="77777777" w:rsidTr="00A8006C">
        <w:tblPrEx>
          <w:tblBorders>
            <w:top w:val="none" w:sz="0" w:space="0" w:color="auto"/>
          </w:tblBorders>
        </w:tblPrEx>
        <w:tc>
          <w:tcPr>
            <w:tcW w:w="4428" w:type="dxa"/>
            <w:tcBorders>
              <w:top w:val="single" w:sz="4" w:space="0" w:color="BFBFBF"/>
              <w:bottom w:val="single" w:sz="4" w:space="0" w:color="BFBFBF"/>
              <w:right w:val="single" w:sz="4" w:space="0" w:color="BFBFBF"/>
            </w:tcBorders>
            <w:tcMar>
              <w:top w:w="100" w:type="nil"/>
              <w:right w:w="100" w:type="nil"/>
            </w:tcMar>
            <w:vAlign w:val="center"/>
          </w:tcPr>
          <w:p w14:paraId="09276A4D" w14:textId="1CCFF1DF"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4428" w:type="dxa"/>
            <w:tcBorders>
              <w:top w:val="single" w:sz="4" w:space="0" w:color="BFBFBF"/>
              <w:left w:val="single" w:sz="4" w:space="0" w:color="BFBFBF"/>
              <w:bottom w:val="single" w:sz="4" w:space="0" w:color="BFBFBF"/>
            </w:tcBorders>
            <w:tcMar>
              <w:top w:w="100" w:type="nil"/>
              <w:right w:w="100" w:type="nil"/>
            </w:tcMar>
            <w:vAlign w:val="center"/>
          </w:tcPr>
          <w:p w14:paraId="4825C332" w14:textId="49C4DC02"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r w:rsidR="008D6CF8" w:rsidRPr="008D6CF8" w14:paraId="7279D0FA" w14:textId="77777777" w:rsidTr="00A8006C">
        <w:tblPrEx>
          <w:tblBorders>
            <w:top w:val="none" w:sz="0" w:space="0" w:color="auto"/>
          </w:tblBorders>
        </w:tblPrEx>
        <w:tc>
          <w:tcPr>
            <w:tcW w:w="4428" w:type="dxa"/>
            <w:tcBorders>
              <w:top w:val="single" w:sz="4" w:space="0" w:color="BFBFBF"/>
              <w:bottom w:val="single" w:sz="4" w:space="0" w:color="BFBFBF"/>
              <w:right w:val="single" w:sz="4" w:space="0" w:color="BFBFBF"/>
            </w:tcBorders>
            <w:tcMar>
              <w:top w:w="100" w:type="nil"/>
              <w:right w:w="100" w:type="nil"/>
            </w:tcMar>
            <w:vAlign w:val="center"/>
          </w:tcPr>
          <w:p w14:paraId="795D73B2" w14:textId="707EAB8F"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4428" w:type="dxa"/>
            <w:tcBorders>
              <w:top w:val="single" w:sz="4" w:space="0" w:color="BFBFBF"/>
              <w:left w:val="single" w:sz="4" w:space="0" w:color="BFBFBF"/>
              <w:bottom w:val="single" w:sz="4" w:space="0" w:color="BFBFBF"/>
            </w:tcBorders>
            <w:tcMar>
              <w:top w:w="100" w:type="nil"/>
              <w:right w:w="100" w:type="nil"/>
            </w:tcMar>
            <w:vAlign w:val="center"/>
          </w:tcPr>
          <w:p w14:paraId="112C7B10" w14:textId="203916D7"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r w:rsidR="008D6CF8" w:rsidRPr="008D6CF8" w14:paraId="429A4C91" w14:textId="77777777" w:rsidTr="00A8006C">
        <w:tblPrEx>
          <w:tblBorders>
            <w:top w:val="none" w:sz="0" w:space="0" w:color="auto"/>
          </w:tblBorders>
        </w:tblPrEx>
        <w:tc>
          <w:tcPr>
            <w:tcW w:w="4428" w:type="dxa"/>
            <w:tcBorders>
              <w:top w:val="single" w:sz="4" w:space="0" w:color="BFBFBF"/>
              <w:bottom w:val="single" w:sz="4" w:space="0" w:color="BFBFBF"/>
              <w:right w:val="single" w:sz="4" w:space="0" w:color="BFBFBF"/>
            </w:tcBorders>
            <w:tcMar>
              <w:top w:w="100" w:type="nil"/>
              <w:right w:w="100" w:type="nil"/>
            </w:tcMar>
            <w:vAlign w:val="center"/>
          </w:tcPr>
          <w:p w14:paraId="4653018E" w14:textId="46888BF4"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4428" w:type="dxa"/>
            <w:tcBorders>
              <w:top w:val="single" w:sz="4" w:space="0" w:color="BFBFBF"/>
              <w:left w:val="single" w:sz="4" w:space="0" w:color="BFBFBF"/>
              <w:bottom w:val="single" w:sz="4" w:space="0" w:color="BFBFBF"/>
            </w:tcBorders>
            <w:tcMar>
              <w:top w:w="100" w:type="nil"/>
              <w:right w:w="100" w:type="nil"/>
            </w:tcMar>
            <w:vAlign w:val="center"/>
          </w:tcPr>
          <w:p w14:paraId="796F6C4A" w14:textId="492DEEFA"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r w:rsidR="008D6CF8" w:rsidRPr="008D6CF8" w14:paraId="184CC964" w14:textId="77777777" w:rsidTr="00A8006C">
        <w:tblPrEx>
          <w:tblBorders>
            <w:top w:val="none" w:sz="0" w:space="0" w:color="auto"/>
            <w:bottom w:val="single" w:sz="4" w:space="0" w:color="BFBFBF"/>
          </w:tblBorders>
        </w:tblPrEx>
        <w:tc>
          <w:tcPr>
            <w:tcW w:w="4428" w:type="dxa"/>
            <w:tcBorders>
              <w:top w:val="single" w:sz="4" w:space="0" w:color="BFBFBF"/>
              <w:bottom w:val="single" w:sz="4" w:space="0" w:color="BFBFBF"/>
              <w:right w:val="single" w:sz="4" w:space="0" w:color="BFBFBF"/>
            </w:tcBorders>
            <w:tcMar>
              <w:top w:w="100" w:type="nil"/>
              <w:right w:w="100" w:type="nil"/>
            </w:tcMar>
            <w:vAlign w:val="center"/>
          </w:tcPr>
          <w:p w14:paraId="34782FEB" w14:textId="7F6DE4FB"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c>
          <w:tcPr>
            <w:tcW w:w="4428" w:type="dxa"/>
            <w:tcBorders>
              <w:top w:val="single" w:sz="4" w:space="0" w:color="BFBFBF"/>
              <w:left w:val="single" w:sz="4" w:space="0" w:color="BFBFBF"/>
              <w:bottom w:val="single" w:sz="4" w:space="0" w:color="BFBFBF"/>
            </w:tcBorders>
            <w:tcMar>
              <w:top w:w="100" w:type="nil"/>
              <w:right w:w="100" w:type="nil"/>
            </w:tcMar>
            <w:vAlign w:val="center"/>
          </w:tcPr>
          <w:p w14:paraId="01D30AAA" w14:textId="0235C17E" w:rsidR="008D6CF8" w:rsidRP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sz w:val="24"/>
                <w:szCs w:val="24"/>
              </w:rPr>
            </w:pPr>
          </w:p>
        </w:tc>
      </w:tr>
    </w:tbl>
    <w:p w14:paraId="2ECC9D93" w14:textId="77777777" w:rsidR="008D6CF8" w:rsidRDefault="008D6CF8" w:rsidP="008D6CF8">
      <w:pPr>
        <w:widowControl w:val="0"/>
        <w:autoSpaceDE w:val="0"/>
        <w:autoSpaceDN w:val="0"/>
        <w:adjustRightInd w:val="0"/>
        <w:spacing w:after="0" w:line="240" w:lineRule="auto"/>
        <w:rPr>
          <w:rFonts w:ascii="TimesNewRomanPSMT" w:eastAsiaTheme="minorEastAsia" w:hAnsi="TimesNewRomanPSMT" w:cs="TimesNewRomanPSMT"/>
          <w:b/>
          <w:bCs/>
          <w:sz w:val="24"/>
          <w:szCs w:val="24"/>
          <w:u w:val="single"/>
        </w:rPr>
      </w:pPr>
    </w:p>
    <w:p w14:paraId="0A251B39" w14:textId="1A164006" w:rsidR="008D6CF8" w:rsidRPr="009C70B9" w:rsidRDefault="008D6CF8" w:rsidP="008D6CF8">
      <w:pPr>
        <w:spacing w:after="0" w:line="240" w:lineRule="auto"/>
      </w:pPr>
    </w:p>
    <w:sectPr w:rsidR="008D6CF8" w:rsidRPr="009C7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E06DC"/>
    <w:multiLevelType w:val="hybridMultilevel"/>
    <w:tmpl w:val="A79693EC"/>
    <w:lvl w:ilvl="0" w:tplc="A2562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50"/>
    <w:rsid w:val="000F37F2"/>
    <w:rsid w:val="00123E10"/>
    <w:rsid w:val="00126127"/>
    <w:rsid w:val="003372BD"/>
    <w:rsid w:val="0035480C"/>
    <w:rsid w:val="00400611"/>
    <w:rsid w:val="0042779E"/>
    <w:rsid w:val="00437D50"/>
    <w:rsid w:val="004640C6"/>
    <w:rsid w:val="005339D5"/>
    <w:rsid w:val="00601A79"/>
    <w:rsid w:val="006C49D6"/>
    <w:rsid w:val="007B4E14"/>
    <w:rsid w:val="008D6CF8"/>
    <w:rsid w:val="00932F9F"/>
    <w:rsid w:val="009C70B9"/>
    <w:rsid w:val="009E0DA9"/>
    <w:rsid w:val="00A20200"/>
    <w:rsid w:val="00A35B71"/>
    <w:rsid w:val="00B630C6"/>
    <w:rsid w:val="00CC36B5"/>
    <w:rsid w:val="00D34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2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B71"/>
    <w:pPr>
      <w:ind w:left="720"/>
      <w:contextualSpacing/>
    </w:pPr>
  </w:style>
  <w:style w:type="character" w:styleId="Hyperlink">
    <w:name w:val="Hyperlink"/>
    <w:basedOn w:val="DefaultParagraphFont"/>
    <w:uiPriority w:val="99"/>
    <w:unhideWhenUsed/>
    <w:rsid w:val="009C70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B71"/>
    <w:pPr>
      <w:ind w:left="720"/>
      <w:contextualSpacing/>
    </w:pPr>
  </w:style>
  <w:style w:type="character" w:styleId="Hyperlink">
    <w:name w:val="Hyperlink"/>
    <w:basedOn w:val="DefaultParagraphFont"/>
    <w:uiPriority w:val="99"/>
    <w:unhideWhenUsed/>
    <w:rsid w:val="009C70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Manager</dc:creator>
  <cp:lastModifiedBy>Business Manager</cp:lastModifiedBy>
  <cp:revision>3</cp:revision>
  <cp:lastPrinted>2016-11-07T17:39:00Z</cp:lastPrinted>
  <dcterms:created xsi:type="dcterms:W3CDTF">2018-06-12T19:17:00Z</dcterms:created>
  <dcterms:modified xsi:type="dcterms:W3CDTF">2018-06-12T22:24:00Z</dcterms:modified>
</cp:coreProperties>
</file>